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Глава</w:t>
      </w:r>
      <w:r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8C39B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20.</w:t>
      </w:r>
      <w:r w:rsidR="00670AD0">
        <w:rPr>
          <w:rFonts w:ascii="Times New Roman" w:hAnsi="Times New Roman"/>
          <w:sz w:val="26"/>
          <w:szCs w:val="26"/>
          <w:lang w:eastAsia="ru-RU"/>
        </w:rPr>
        <w:t>0</w:t>
      </w:r>
      <w:r w:rsidR="003A6754">
        <w:rPr>
          <w:rFonts w:ascii="Times New Roman" w:hAnsi="Times New Roman"/>
          <w:sz w:val="26"/>
          <w:szCs w:val="26"/>
          <w:lang w:eastAsia="ru-RU"/>
        </w:rPr>
        <w:t>7</w:t>
      </w:r>
      <w:r w:rsidR="008C34BD">
        <w:rPr>
          <w:rFonts w:ascii="Times New Roman" w:hAnsi="Times New Roman"/>
          <w:sz w:val="26"/>
          <w:szCs w:val="26"/>
          <w:lang w:eastAsia="ru-RU"/>
        </w:rPr>
        <w:t>.201</w:t>
      </w:r>
      <w:r w:rsidR="00670AD0">
        <w:rPr>
          <w:rFonts w:ascii="Times New Roman" w:hAnsi="Times New Roman"/>
          <w:sz w:val="26"/>
          <w:szCs w:val="26"/>
          <w:lang w:eastAsia="ru-RU"/>
        </w:rPr>
        <w:t>8</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2B60DB">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5E60B9" w:rsidRPr="005E60B9">
              <w:rPr>
                <w:rFonts w:ascii="Times New Roman" w:hAnsi="Times New Roman"/>
                <w:sz w:val="20"/>
                <w:szCs w:val="20"/>
                <w:lang w:eastAsia="ru-RU"/>
              </w:rPr>
              <w:t>16</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5E60B9" w:rsidRPr="005E60B9">
              <w:rPr>
                <w:rFonts w:ascii="Times New Roman" w:hAnsi="Times New Roman"/>
                <w:sz w:val="20"/>
                <w:szCs w:val="20"/>
                <w:lang w:eastAsia="ru-RU"/>
              </w:rPr>
              <w:t>74</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701AEC">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bookmarkStart w:id="5" w:name="_GoBack"/>
            <w:bookmarkEnd w:id="5"/>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701AEC" w:rsidRPr="00701AEC">
              <w:rPr>
                <w:rFonts w:ascii="Times New Roman" w:hAnsi="Times New Roman"/>
                <w:lang w:eastAsia="ru-RU"/>
              </w:rPr>
              <w:t>1231</w:t>
            </w:r>
            <w:r w:rsidRPr="00701AEC">
              <w:rPr>
                <w:rFonts w:ascii="Times New Roman" w:hAnsi="Times New Roman"/>
                <w:lang w:eastAsia="ru-RU"/>
              </w:rPr>
              <w:t xml:space="preserve"> рубл</w:t>
            </w:r>
            <w:r w:rsidR="00701AEC" w:rsidRPr="00701AEC">
              <w:rPr>
                <w:rFonts w:ascii="Times New Roman" w:hAnsi="Times New Roman"/>
                <w:lang w:eastAsia="ru-RU"/>
              </w:rPr>
              <w:t>ь</w:t>
            </w:r>
            <w:r w:rsidRPr="00701AEC">
              <w:rPr>
                <w:rFonts w:ascii="Times New Roman" w:hAnsi="Times New Roman"/>
                <w:lang w:eastAsia="ru-RU"/>
              </w:rPr>
              <w:t xml:space="preserve"> </w:t>
            </w:r>
            <w:r w:rsidR="00701AEC" w:rsidRPr="00701AEC">
              <w:rPr>
                <w:rFonts w:ascii="Times New Roman" w:hAnsi="Times New Roman"/>
                <w:lang w:eastAsia="ru-RU"/>
              </w:rPr>
              <w:t>15</w:t>
            </w:r>
            <w:r w:rsidRPr="00701AEC">
              <w:rPr>
                <w:rFonts w:ascii="Times New Roman" w:hAnsi="Times New Roman"/>
                <w:lang w:eastAsia="ru-RU"/>
              </w:rPr>
              <w:t xml:space="preserve"> копе</w:t>
            </w:r>
            <w:r w:rsidR="00670AD0" w:rsidRPr="00701AEC">
              <w:rPr>
                <w:rFonts w:ascii="Times New Roman" w:hAnsi="Times New Roman"/>
                <w:lang w:eastAsia="ru-RU"/>
              </w:rPr>
              <w:t>е</w:t>
            </w:r>
            <w:r w:rsidRPr="00701AEC">
              <w:rPr>
                <w:rFonts w:ascii="Times New Roman" w:hAnsi="Times New Roman"/>
                <w:lang w:eastAsia="ru-RU"/>
              </w:rPr>
              <w:t>к.</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 xml:space="preserve">Р/сч. </w:t>
            </w:r>
            <w:r w:rsidRPr="00AD7D54">
              <w:rPr>
                <w:rFonts w:ascii="Times New Roman" w:hAnsi="Times New Roman"/>
                <w:i/>
                <w:snapToGrid w:val="0"/>
                <w:color w:val="000000"/>
                <w:sz w:val="20"/>
                <w:szCs w:val="20"/>
              </w:rPr>
              <w:t>40302810725203000193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25638443</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05343005580)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3A6754">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8C39B3">
              <w:rPr>
                <w:rFonts w:ascii="Times New Roman" w:hAnsi="Times New Roman"/>
                <w:lang w:eastAsia="ru-RU"/>
              </w:rPr>
              <w:t>20</w:t>
            </w:r>
            <w:r w:rsidRPr="003C49DF">
              <w:rPr>
                <w:rFonts w:ascii="Times New Roman" w:hAnsi="Times New Roman"/>
                <w:lang w:eastAsia="ru-RU"/>
              </w:rPr>
              <w:t xml:space="preserve">» </w:t>
            </w:r>
            <w:r w:rsidR="003A6754">
              <w:rPr>
                <w:rFonts w:ascii="Times New Roman" w:hAnsi="Times New Roman"/>
                <w:lang w:eastAsia="ru-RU"/>
              </w:rPr>
              <w:t>июля</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4F70DB">
            <w:pPr>
              <w:widowControl w:val="0"/>
              <w:suppressAutoHyphens/>
              <w:spacing w:after="0" w:line="240" w:lineRule="auto"/>
              <w:rPr>
                <w:rFonts w:ascii="Times New Roman" w:hAnsi="Times New Roman"/>
                <w:b/>
                <w:lang w:eastAsia="ru-RU"/>
              </w:rPr>
            </w:pPr>
            <w:r>
              <w:rPr>
                <w:rFonts w:ascii="Times New Roman" w:hAnsi="Times New Roman"/>
                <w:lang w:eastAsia="ru-RU"/>
              </w:rPr>
              <w:t>«20</w:t>
            </w:r>
            <w:r w:rsidR="008C34BD" w:rsidRPr="003C49DF">
              <w:rPr>
                <w:rFonts w:ascii="Times New Roman" w:hAnsi="Times New Roman"/>
                <w:lang w:eastAsia="ru-RU"/>
              </w:rPr>
              <w:t xml:space="preserve">» </w:t>
            </w:r>
            <w:r w:rsidR="004F70DB">
              <w:rPr>
                <w:rFonts w:ascii="Times New Roman" w:hAnsi="Times New Roman"/>
                <w:lang w:eastAsia="ru-RU"/>
              </w:rPr>
              <w:t>августа</w:t>
            </w:r>
            <w:r w:rsidR="008C34BD" w:rsidRPr="003C49DF">
              <w:rPr>
                <w:rFonts w:ascii="Times New Roman" w:hAnsi="Times New Roman"/>
                <w:lang w:eastAsia="ru-RU"/>
              </w:rPr>
              <w:t xml:space="preserve"> 201</w:t>
            </w:r>
            <w:r w:rsidR="006D1860">
              <w:rPr>
                <w:rFonts w:ascii="Times New Roman" w:hAnsi="Times New Roman"/>
                <w:lang w:eastAsia="ru-RU"/>
              </w:rPr>
              <w:t>8</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8C39B3">
              <w:rPr>
                <w:rFonts w:ascii="Times New Roman" w:hAnsi="Times New Roman"/>
                <w:szCs w:val="20"/>
                <w:lang w:eastAsia="ru-RU"/>
              </w:rPr>
              <w:t>20</w:t>
            </w:r>
            <w:r w:rsidRPr="003C49DF">
              <w:rPr>
                <w:rFonts w:ascii="Times New Roman" w:hAnsi="Times New Roman"/>
                <w:szCs w:val="20"/>
                <w:lang w:eastAsia="ru-RU"/>
              </w:rPr>
              <w:t xml:space="preserve">» </w:t>
            </w:r>
            <w:r w:rsidR="006D1860">
              <w:rPr>
                <w:rFonts w:ascii="Times New Roman" w:hAnsi="Times New Roman"/>
                <w:szCs w:val="20"/>
                <w:lang w:eastAsia="ru-RU"/>
              </w:rPr>
              <w:t>а</w:t>
            </w:r>
            <w:r w:rsidR="002D33FE">
              <w:rPr>
                <w:rFonts w:ascii="Times New Roman" w:hAnsi="Times New Roman"/>
                <w:szCs w:val="20"/>
                <w:lang w:eastAsia="ru-RU"/>
              </w:rPr>
              <w:t>вгуста</w:t>
            </w:r>
            <w:r w:rsidRPr="003C49DF">
              <w:rPr>
                <w:rFonts w:ascii="Times New Roman" w:hAnsi="Times New Roman"/>
                <w:szCs w:val="20"/>
                <w:lang w:eastAsia="ru-RU"/>
              </w:rPr>
              <w:t xml:space="preserve"> 201</w:t>
            </w:r>
            <w:r w:rsidR="006D1860">
              <w:rPr>
                <w:rFonts w:ascii="Times New Roman" w:hAnsi="Times New Roman"/>
                <w:szCs w:val="20"/>
                <w:lang w:eastAsia="ru-RU"/>
              </w:rPr>
              <w:t>8</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Конкурс будет проводиться в 10-00 часов (по местному времени) «</w:t>
            </w:r>
            <w:r w:rsidR="008C39B3">
              <w:rPr>
                <w:rFonts w:ascii="Times New Roman" w:hAnsi="Times New Roman"/>
                <w:lang w:eastAsia="ru-RU"/>
              </w:rPr>
              <w:t>20</w:t>
            </w:r>
            <w:r w:rsidRPr="003C49DF">
              <w:rPr>
                <w:rFonts w:ascii="Times New Roman" w:hAnsi="Times New Roman"/>
                <w:lang w:eastAsia="ru-RU"/>
              </w:rPr>
              <w:t xml:space="preserve">» </w:t>
            </w:r>
            <w:r w:rsidR="002D33FE">
              <w:rPr>
                <w:rFonts w:ascii="Times New Roman" w:hAnsi="Times New Roman"/>
                <w:lang w:eastAsia="ru-RU"/>
              </w:rPr>
              <w:t>августа</w:t>
            </w:r>
            <w:r w:rsidRPr="003C49DF">
              <w:rPr>
                <w:rFonts w:ascii="Times New Roman" w:hAnsi="Times New Roman"/>
                <w:lang w:eastAsia="ru-RU"/>
              </w:rPr>
              <w:t xml:space="preserve"> 201</w:t>
            </w:r>
            <w:r w:rsidR="006D1860">
              <w:rPr>
                <w:rFonts w:ascii="Times New Roman" w:hAnsi="Times New Roman"/>
                <w:lang w:eastAsia="ru-RU"/>
              </w:rPr>
              <w:t>8</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E26097" w:rsidRPr="00E26097">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E26097" w:rsidRPr="00E26097">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Самарин А. Е.</w:t>
      </w:r>
      <w:r>
        <w:rPr>
          <w:rFonts w:ascii="Times New Roman" w:hAnsi="Times New Roman"/>
          <w:sz w:val="24"/>
          <w:szCs w:val="24"/>
          <w:lang w:eastAsia="ru-RU"/>
        </w:rPr>
        <w:t>.</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93AE6" w:rsidRDefault="008C34BD" w:rsidP="00AA56D0">
      <w:pPr>
        <w:spacing w:after="0" w:line="240" w:lineRule="auto"/>
        <w:ind w:left="5103"/>
        <w:jc w:val="center"/>
        <w:rPr>
          <w:rFonts w:ascii="Times New Roman" w:hAnsi="Times New Roman"/>
          <w:sz w:val="24"/>
          <w:szCs w:val="24"/>
          <w:lang w:val="en-US" w:eastAsia="ru-RU"/>
        </w:rPr>
      </w:pPr>
      <w:r w:rsidRPr="00AA56D0">
        <w:rPr>
          <w:rFonts w:ascii="Times New Roman" w:hAnsi="Times New Roman"/>
          <w:sz w:val="24"/>
          <w:szCs w:val="24"/>
          <w:lang w:eastAsia="ru-RU"/>
        </w:rPr>
        <w:t>тел</w:t>
      </w:r>
      <w:r w:rsidRPr="00093AE6">
        <w:rPr>
          <w:rFonts w:ascii="Times New Roman" w:hAnsi="Times New Roman"/>
          <w:sz w:val="24"/>
          <w:szCs w:val="24"/>
          <w:lang w:val="en-US" w:eastAsia="ru-RU"/>
        </w:rPr>
        <w:t xml:space="preserve">.49033, </w:t>
      </w:r>
      <w:r w:rsidRPr="00AA56D0">
        <w:rPr>
          <w:rFonts w:ascii="Times New Roman" w:hAnsi="Times New Roman"/>
          <w:sz w:val="24"/>
          <w:szCs w:val="24"/>
          <w:lang w:val="en-US" w:eastAsia="ru-RU"/>
        </w:rPr>
        <w:t>e</w:t>
      </w:r>
      <w:r w:rsidRPr="00093AE6">
        <w:rPr>
          <w:rFonts w:ascii="Times New Roman" w:hAnsi="Times New Roman"/>
          <w:sz w:val="24"/>
          <w:szCs w:val="24"/>
          <w:lang w:val="en-US" w:eastAsia="ru-RU"/>
        </w:rPr>
        <w:t>-</w:t>
      </w:r>
      <w:r w:rsidRPr="00AA56D0">
        <w:rPr>
          <w:rFonts w:ascii="Times New Roman" w:hAnsi="Times New Roman"/>
          <w:sz w:val="24"/>
          <w:szCs w:val="24"/>
          <w:lang w:val="en-US" w:eastAsia="ru-RU"/>
        </w:rPr>
        <w:t>mail</w:t>
      </w:r>
      <w:r w:rsidRPr="00093AE6">
        <w:rPr>
          <w:rFonts w:ascii="Times New Roman" w:hAnsi="Times New Roman"/>
          <w:sz w:val="24"/>
          <w:szCs w:val="24"/>
          <w:lang w:val="en-US" w:eastAsia="ru-RU"/>
        </w:rPr>
        <w:t xml:space="preserve">: </w:t>
      </w:r>
      <w:r w:rsidRPr="00AA56D0">
        <w:rPr>
          <w:lang w:val="en-US"/>
        </w:rPr>
        <w:t>pisarevskoe</w:t>
      </w:r>
      <w:r w:rsidRPr="00093AE6">
        <w:rPr>
          <w:lang w:val="en-US"/>
        </w:rPr>
        <w:t>_</w:t>
      </w:r>
      <w:r w:rsidRPr="00AA56D0">
        <w:rPr>
          <w:lang w:val="en-US"/>
        </w:rPr>
        <w:t>s</w:t>
      </w:r>
      <w:r w:rsidRPr="00093AE6">
        <w:rPr>
          <w:lang w:val="en-US"/>
        </w:rPr>
        <w:t>.</w:t>
      </w:r>
      <w:r w:rsidRPr="00AA56D0">
        <w:rPr>
          <w:lang w:val="en-US"/>
        </w:rPr>
        <w:t>p</w:t>
      </w:r>
      <w:r w:rsidRPr="00093AE6">
        <w:rPr>
          <w:lang w:val="en-US"/>
        </w:rPr>
        <w:t>@</w:t>
      </w:r>
      <w:r w:rsidRPr="00AA56D0">
        <w:rPr>
          <w:lang w:val="en-US"/>
        </w:rPr>
        <w:t>mail</w:t>
      </w:r>
      <w:r w:rsidRPr="00093AE6">
        <w:rPr>
          <w:lang w:val="en-US"/>
        </w:rPr>
        <w:t>.</w:t>
      </w:r>
      <w:r w:rsidRPr="00AA56D0">
        <w:rPr>
          <w:lang w:val="en-US"/>
        </w:rPr>
        <w:t>ru</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1. Адрес многоквартирного дома  _____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2. Кадастровый номер многоквартирного дома (при его наличии)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5. Степень износа по данным государственного технического учета  _</w:t>
      </w:r>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8. Реквизиты правового акта о признании многоквартирного  дома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9. Количество этажей</w:t>
      </w:r>
      <w:r w:rsidRPr="00AA56D0">
        <w:rPr>
          <w:rFonts w:ascii="Times New Roman" w:hAnsi="Times New Roman"/>
          <w:sz w:val="24"/>
          <w:szCs w:val="24"/>
          <w:u w:val="single"/>
          <w:lang w:eastAsia="ru-RU"/>
        </w:rPr>
        <w:t>_____Три_________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E0558C">
        <w:rPr>
          <w:rFonts w:ascii="Times New Roman" w:hAnsi="Times New Roman"/>
          <w:sz w:val="24"/>
          <w:szCs w:val="24"/>
          <w:u w:val="single"/>
          <w:lang w:eastAsia="ru-RU"/>
        </w:rPr>
        <w:t>3</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состав  общего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проживания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квартир)   </w:t>
      </w:r>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лестниц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лестничные)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коридоров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(уполномоченный представитель)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(подпись)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или ф.и.о.физического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(ф.и.о.)</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«Жилтрест»</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25.Уплотнение стыков с установкой нащельников,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28.Восстановление (ремонт) стальных деталей крепления (кронштейны пожарных лестниц, флагодержатели,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плату  работ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и  ремонту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1.3.3 подготовка предложений  по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1.3.12. реализация мероприятий по энерго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и  ремонт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перечень и размер платы обязательных работ и услуг по содержанию и ремонту общего имущества собственников помещений  установлены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Размер платы за коммунальные услуги устанавливаются по тарифам, утвержденным порядком, установленным законодательством Российской Федерации для ресурсоснабжающих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val="en-US"/>
              </w:rPr>
              <w:t>pisarevskoe</w:t>
            </w:r>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r w:rsidRPr="00B85FA4">
              <w:rPr>
                <w:rFonts w:ascii="Times New Roman" w:hAnsi="Times New Roman"/>
                <w:sz w:val="24"/>
                <w:szCs w:val="24"/>
                <w:lang w:val="en-US"/>
              </w:rPr>
              <w:t>ru</w:t>
            </w:r>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Pr="00AA56D0" w:rsidRDefault="008C34BD"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lastRenderedPageBreak/>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975BA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975BAA">
              <w:rPr>
                <w:rFonts w:ascii="Times New Roman" w:hAnsi="Times New Roman"/>
                <w:sz w:val="20"/>
                <w:szCs w:val="20"/>
                <w:lang w:eastAsia="ru-RU"/>
              </w:rPr>
              <w:t>8</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т.ч.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Pr>
          <w:rFonts w:ascii="Times New Roman" w:hAnsi="Times New Roman"/>
          <w:color w:val="000000"/>
          <w:spacing w:val="8"/>
          <w:sz w:val="16"/>
          <w:szCs w:val="16"/>
          <w:lang w:eastAsia="ru-RU"/>
        </w:rPr>
        <w:t>7</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Собственник:  подпись</w:t>
      </w:r>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727B0"/>
    <w:rsid w:val="000847C1"/>
    <w:rsid w:val="00093AE6"/>
    <w:rsid w:val="000D2D79"/>
    <w:rsid w:val="00112CEA"/>
    <w:rsid w:val="00114BDE"/>
    <w:rsid w:val="001237D3"/>
    <w:rsid w:val="00142F17"/>
    <w:rsid w:val="00144D7F"/>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675BA"/>
    <w:rsid w:val="00372A0C"/>
    <w:rsid w:val="00396A83"/>
    <w:rsid w:val="003A6754"/>
    <w:rsid w:val="003C2EC4"/>
    <w:rsid w:val="003C49DF"/>
    <w:rsid w:val="00443311"/>
    <w:rsid w:val="00450712"/>
    <w:rsid w:val="00454766"/>
    <w:rsid w:val="00465DBD"/>
    <w:rsid w:val="004E053F"/>
    <w:rsid w:val="004F70DB"/>
    <w:rsid w:val="00505A0C"/>
    <w:rsid w:val="00516026"/>
    <w:rsid w:val="00535A36"/>
    <w:rsid w:val="00562E43"/>
    <w:rsid w:val="005A5DCA"/>
    <w:rsid w:val="005E60B9"/>
    <w:rsid w:val="00600052"/>
    <w:rsid w:val="00620A41"/>
    <w:rsid w:val="00624600"/>
    <w:rsid w:val="00624A85"/>
    <w:rsid w:val="00634911"/>
    <w:rsid w:val="00667CFC"/>
    <w:rsid w:val="00670AD0"/>
    <w:rsid w:val="006C3DD7"/>
    <w:rsid w:val="006D1860"/>
    <w:rsid w:val="00701AEC"/>
    <w:rsid w:val="0071686B"/>
    <w:rsid w:val="0072499F"/>
    <w:rsid w:val="00725251"/>
    <w:rsid w:val="00770517"/>
    <w:rsid w:val="00781188"/>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1605E"/>
    <w:rsid w:val="00C23128"/>
    <w:rsid w:val="00C46BA9"/>
    <w:rsid w:val="00C829FB"/>
    <w:rsid w:val="00CB40BA"/>
    <w:rsid w:val="00CC6693"/>
    <w:rsid w:val="00CD5637"/>
    <w:rsid w:val="00D156EA"/>
    <w:rsid w:val="00D25FA4"/>
    <w:rsid w:val="00D936E1"/>
    <w:rsid w:val="00D94493"/>
    <w:rsid w:val="00DB689B"/>
    <w:rsid w:val="00DC38A8"/>
    <w:rsid w:val="00DD78F8"/>
    <w:rsid w:val="00DF14BD"/>
    <w:rsid w:val="00E0558C"/>
    <w:rsid w:val="00E2510F"/>
    <w:rsid w:val="00E26097"/>
    <w:rsid w:val="00E57EBF"/>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32</Pages>
  <Words>12813</Words>
  <Characters>73037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86</cp:revision>
  <cp:lastPrinted>2018-07-20T01:46:00Z</cp:lastPrinted>
  <dcterms:created xsi:type="dcterms:W3CDTF">2015-07-20T06:22:00Z</dcterms:created>
  <dcterms:modified xsi:type="dcterms:W3CDTF">2018-07-20T02:46:00Z</dcterms:modified>
</cp:coreProperties>
</file>