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E" w:rsidRDefault="003F47DE">
      <w:pPr>
        <w:rPr>
          <w:sz w:val="2"/>
          <w:szCs w:val="2"/>
        </w:rPr>
      </w:pPr>
    </w:p>
    <w:p w:rsidR="003F47DE" w:rsidRPr="006B0969" w:rsidRDefault="001458A6" w:rsidP="006506BF">
      <w:pPr>
        <w:pStyle w:val="40"/>
        <w:framePr w:w="9038" w:h="1351" w:hRule="exact" w:wrap="around" w:vAnchor="page" w:hAnchor="page" w:x="1876" w:y="751"/>
        <w:shd w:val="clear" w:color="auto" w:fill="auto"/>
        <w:ind w:left="4404" w:right="2180"/>
        <w:rPr>
          <w:rFonts w:ascii="Times New Roman" w:hAnsi="Times New Roman" w:cs="Times New Roman"/>
          <w:sz w:val="18"/>
        </w:rPr>
      </w:pPr>
      <w:proofErr w:type="gramStart"/>
      <w:r w:rsidRPr="006B0969">
        <w:rPr>
          <w:rFonts w:ascii="Times New Roman" w:hAnsi="Times New Roman" w:cs="Times New Roman"/>
          <w:sz w:val="18"/>
        </w:rPr>
        <w:t>Приложение</w:t>
      </w:r>
      <w:r w:rsidRPr="006B0969">
        <w:rPr>
          <w:rFonts w:ascii="Times New Roman" w:hAnsi="Times New Roman" w:cs="Times New Roman"/>
          <w:sz w:val="18"/>
        </w:rPr>
        <w:br/>
        <w:t>к Плану мероприятий («дорожной карте»},</w:t>
      </w:r>
      <w:proofErr w:type="gramEnd"/>
    </w:p>
    <w:p w:rsidR="003F47DE" w:rsidRPr="006B0969" w:rsidRDefault="001458A6" w:rsidP="006506BF">
      <w:pPr>
        <w:pStyle w:val="1"/>
        <w:framePr w:w="9038" w:h="1351" w:hRule="exact" w:wrap="around" w:vAnchor="page" w:hAnchor="page" w:x="1876" w:y="751"/>
        <w:shd w:val="clear" w:color="auto" w:fill="auto"/>
        <w:spacing w:line="175" w:lineRule="exact"/>
        <w:ind w:left="4404" w:right="2180"/>
        <w:jc w:val="center"/>
        <w:rPr>
          <w:rFonts w:ascii="Times New Roman" w:hAnsi="Times New Roman" w:cs="Times New Roman"/>
          <w:sz w:val="18"/>
        </w:rPr>
      </w:pPr>
      <w:proofErr w:type="gramStart"/>
      <w:r w:rsidRPr="006B0969">
        <w:rPr>
          <w:rFonts w:ascii="Times New Roman" w:hAnsi="Times New Roman" w:cs="Times New Roman"/>
          <w:sz w:val="18"/>
        </w:rPr>
        <w:t>направленных</w:t>
      </w:r>
      <w:proofErr w:type="gramEnd"/>
      <w:r w:rsidRPr="006B0969">
        <w:rPr>
          <w:rFonts w:ascii="Times New Roman" w:hAnsi="Times New Roman" w:cs="Times New Roman"/>
          <w:sz w:val="18"/>
        </w:rPr>
        <w:t xml:space="preserve"> на</w:t>
      </w:r>
      <w:r w:rsidRPr="006B0969">
        <w:rPr>
          <w:rFonts w:ascii="Times New Roman" w:hAnsi="Times New Roman" w:cs="Times New Roman"/>
          <w:sz w:val="18"/>
        </w:rPr>
        <w:br/>
        <w:t>повышение эффективности сферы культуры</w:t>
      </w:r>
    </w:p>
    <w:p w:rsidR="003F47DE" w:rsidRPr="006B0969" w:rsidRDefault="001458A6" w:rsidP="006506BF">
      <w:pPr>
        <w:pStyle w:val="40"/>
        <w:framePr w:w="9038" w:h="1276" w:hRule="exact" w:wrap="around" w:vAnchor="page" w:hAnchor="page" w:x="1621" w:y="2131"/>
        <w:shd w:val="clear" w:color="auto" w:fill="auto"/>
        <w:ind w:left="137" w:right="185"/>
        <w:rPr>
          <w:rFonts w:ascii="Times New Roman" w:hAnsi="Times New Roman" w:cs="Times New Roman"/>
          <w:sz w:val="16"/>
        </w:rPr>
      </w:pPr>
      <w:proofErr w:type="gramStart"/>
      <w:r w:rsidRPr="006B0969">
        <w:rPr>
          <w:rFonts w:ascii="Times New Roman" w:hAnsi="Times New Roman" w:cs="Times New Roman"/>
          <w:sz w:val="16"/>
        </w:rPr>
        <w:t xml:space="preserve">Финансово-экономическое обоснование дополнительной потребности бюджетных средств, необходимых для </w:t>
      </w:r>
      <w:r w:rsidR="006B0969" w:rsidRPr="006B0969">
        <w:rPr>
          <w:rFonts w:ascii="Times New Roman" w:hAnsi="Times New Roman" w:cs="Times New Roman"/>
          <w:sz w:val="16"/>
        </w:rPr>
        <w:t>достижения показателя «Динамика</w:t>
      </w:r>
      <w:r w:rsidR="006B0969" w:rsidRPr="006B0969">
        <w:rPr>
          <w:rFonts w:ascii="Times New Roman" w:hAnsi="Times New Roman" w:cs="Times New Roman"/>
          <w:sz w:val="16"/>
          <w:lang w:val="ru-RU"/>
        </w:rPr>
        <w:t xml:space="preserve"> </w:t>
      </w:r>
      <w:r w:rsidRPr="006B0969">
        <w:rPr>
          <w:rFonts w:ascii="Times New Roman" w:hAnsi="Times New Roman" w:cs="Times New Roman"/>
          <w:sz w:val="16"/>
        </w:rPr>
        <w:t>примерных (индикативных) знамений соотношения средней заработной платы работников учреждений культуры,</w:t>
      </w:r>
      <w:r w:rsidR="006B0969" w:rsidRPr="006B0969">
        <w:rPr>
          <w:rFonts w:ascii="Times New Roman" w:hAnsi="Times New Roman" w:cs="Times New Roman"/>
          <w:sz w:val="16"/>
        </w:rPr>
        <w:t xml:space="preserve"> повышение оплаты труда которых</w:t>
      </w:r>
      <w:r w:rsidR="006B0969" w:rsidRPr="006B0969">
        <w:rPr>
          <w:rFonts w:ascii="Times New Roman" w:hAnsi="Times New Roman" w:cs="Times New Roman"/>
          <w:sz w:val="16"/>
          <w:lang w:val="ru-RU"/>
        </w:rPr>
        <w:t xml:space="preserve"> </w:t>
      </w:r>
      <w:r w:rsidRPr="006B0969">
        <w:rPr>
          <w:rFonts w:ascii="Times New Roman" w:hAnsi="Times New Roman" w:cs="Times New Roman"/>
          <w:sz w:val="16"/>
        </w:rPr>
        <w:t>предусмотрено Указом Президента Российской Федерации от 7 мая 2012 года N9 597 «О мероприятиях по реализации государственн</w:t>
      </w:r>
      <w:r w:rsidR="006B0969" w:rsidRPr="006B0969">
        <w:rPr>
          <w:rFonts w:ascii="Times New Roman" w:hAnsi="Times New Roman" w:cs="Times New Roman"/>
          <w:sz w:val="16"/>
        </w:rPr>
        <w:t>ой социальной</w:t>
      </w:r>
      <w:r w:rsidR="006B0969" w:rsidRPr="006B0969">
        <w:rPr>
          <w:rFonts w:ascii="Times New Roman" w:hAnsi="Times New Roman" w:cs="Times New Roman"/>
          <w:sz w:val="16"/>
          <w:lang w:val="ru-RU"/>
        </w:rPr>
        <w:t xml:space="preserve"> </w:t>
      </w:r>
      <w:r w:rsidRPr="006B0969">
        <w:rPr>
          <w:rFonts w:ascii="Times New Roman" w:hAnsi="Times New Roman" w:cs="Times New Roman"/>
          <w:sz w:val="16"/>
        </w:rPr>
        <w:t>политики», и средней заработной платы в субъектах Российской Федерации»</w:t>
      </w:r>
      <w:r w:rsidRPr="006B0969">
        <w:rPr>
          <w:rFonts w:ascii="Times New Roman" w:hAnsi="Times New Roman" w:cs="Times New Roman"/>
          <w:sz w:val="16"/>
        </w:rPr>
        <w:br/>
        <w:t>МКУК "Культурно-досуговый центр Писаревского МО"</w:t>
      </w:r>
      <w:proofErr w:type="gramEnd"/>
    </w:p>
    <w:tbl>
      <w:tblPr>
        <w:tblpPr w:leftFromText="180" w:rightFromText="180" w:vertAnchor="text" w:horzAnchor="margin" w:tblpXSpec="center" w:tblpY="334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707"/>
        <w:gridCol w:w="740"/>
        <w:gridCol w:w="730"/>
        <w:gridCol w:w="725"/>
        <w:gridCol w:w="725"/>
        <w:gridCol w:w="725"/>
        <w:gridCol w:w="730"/>
        <w:gridCol w:w="868"/>
        <w:gridCol w:w="992"/>
        <w:gridCol w:w="1134"/>
      </w:tblGrid>
      <w:tr w:rsidR="006506BF" w:rsidRPr="006B0969" w:rsidTr="00DD0727">
        <w:trPr>
          <w:trHeight w:val="23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N8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Наименование показателей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2012 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2013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2014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2015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2016 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2017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2013г.-2015г.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2013г.-2018г.</w:t>
            </w:r>
          </w:p>
        </w:tc>
      </w:tr>
      <w:tr w:rsidR="006506BF" w:rsidRPr="006B0969" w:rsidTr="00DD0727">
        <w:trPr>
          <w:trHeight w:val="84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25 365,0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28 130,0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31 308,0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34 721,0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38 627,0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42 841,0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47 339,0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21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Темп роста к предыдущему году, 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42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Среднесписочная численность работников 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21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41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0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Среднемесячная заработная плата работников рублей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7 623,7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15 780,9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2.0 318,9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25 589,4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31 828,6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39 071,0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47 339,0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21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bookmarkStart w:id="0" w:name="_GoBack"/>
            <w:bookmarkEnd w:id="0"/>
          </w:p>
        </w:tc>
      </w:tr>
      <w:tr w:rsidR="006506BF" w:rsidRPr="006B0969" w:rsidTr="00DD0727">
        <w:trPr>
          <w:trHeight w:val="21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Темп роста к предыдущему году, 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207,0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128,8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122,8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42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Размер начислений на фонд оплаты труда, 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42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8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Фонд оплаты труда с начислениями, тыс. рублей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2 024,9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4 191,5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5 396,9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6 796,7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8 453,9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10 377,6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12 573,6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16 385,2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47 790,3</w:t>
            </w:r>
          </w:p>
        </w:tc>
      </w:tr>
      <w:tr w:rsidR="006506BF" w:rsidRPr="006B0969" w:rsidTr="00DD0727">
        <w:trPr>
          <w:trHeight w:val="20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105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3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Прирост фонда оплаты труда</w:t>
            </w:r>
            <w:r w:rsidRPr="006506BF">
              <w:rPr>
                <w:rStyle w:val="55pt"/>
                <w:rFonts w:ascii="Times New Roman" w:hAnsi="Times New Roman" w:cs="Times New Roman"/>
                <w:sz w:val="16"/>
              </w:rPr>
              <w:t xml:space="preserve"> с </w:t>
            </w:r>
            <w:r w:rsidRPr="006506BF">
              <w:rPr>
                <w:rFonts w:ascii="Times New Roman" w:hAnsi="Times New Roman" w:cs="Times New Roman"/>
                <w:sz w:val="16"/>
              </w:rPr>
              <w:t xml:space="preserve">начислениями к 2012 году, </w:t>
            </w:r>
            <w:proofErr w:type="spellStart"/>
            <w:proofErr w:type="gramStart"/>
            <w:r w:rsidRPr="006506BF">
              <w:rPr>
                <w:rFonts w:ascii="Times New Roman" w:hAnsi="Times New Roman" w:cs="Times New Roman"/>
                <w:sz w:val="16"/>
              </w:rPr>
              <w:t>тыс</w:t>
            </w:r>
            <w:proofErr w:type="spellEnd"/>
            <w:proofErr w:type="gramEnd"/>
            <w:r w:rsidRPr="006506BF">
              <w:rPr>
                <w:rFonts w:ascii="Times New Roman" w:hAnsi="Times New Roman" w:cs="Times New Roman"/>
                <w:sz w:val="16"/>
              </w:rPr>
              <w:t xml:space="preserve">, рублей (фонд оплаты труда стр. 7 по графе соответствующего </w:t>
            </w:r>
            <w:proofErr w:type="spellStart"/>
            <w:r w:rsidRPr="006506BF">
              <w:rPr>
                <w:rFonts w:ascii="Times New Roman" w:hAnsi="Times New Roman" w:cs="Times New Roman"/>
                <w:sz w:val="16"/>
              </w:rPr>
              <w:t>годэ</w:t>
            </w:r>
            <w:proofErr w:type="spellEnd"/>
            <w:r w:rsidRPr="006506BF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6506BF">
              <w:rPr>
                <w:rFonts w:ascii="Times New Roman" w:hAnsi="Times New Roman" w:cs="Times New Roman"/>
                <w:sz w:val="16"/>
              </w:rPr>
              <w:t>стр</w:t>
            </w:r>
            <w:proofErr w:type="spellEnd"/>
            <w:r w:rsidRPr="006506BF">
              <w:rPr>
                <w:rFonts w:ascii="Times New Roman" w:hAnsi="Times New Roman" w:cs="Times New Roman"/>
                <w:sz w:val="16"/>
              </w:rPr>
              <w:t>, 7 за 2012 г.)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2 166,6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3 371,9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4 771,8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6429,0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8 352,7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1,0 548,7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10 310,4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35 640,8</w:t>
            </w:r>
          </w:p>
        </w:tc>
      </w:tr>
      <w:tr w:rsidR="006506BF" w:rsidRPr="006B0969" w:rsidTr="00DD0727">
        <w:trPr>
          <w:trHeight w:val="20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21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64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за счет средств консолидированного бюджета субъекта Российской Федерации, млн. рублей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</w:tr>
      <w:tr w:rsidR="006506BF" w:rsidRPr="006B0969" w:rsidTr="00DD0727">
        <w:trPr>
          <w:trHeight w:val="62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сеть оптимальна</w:t>
            </w:r>
          </w:p>
        </w:tc>
      </w:tr>
      <w:tr w:rsidR="006506BF" w:rsidRPr="006B0969" w:rsidTr="00DD0727">
        <w:trPr>
          <w:trHeight w:val="42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за счет средств от приносящей доход деятельности, млн. рублей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</w:tr>
      <w:tr w:rsidR="006506BF" w:rsidRPr="006B0969" w:rsidTr="00DD0727">
        <w:trPr>
          <w:trHeight w:val="105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proofErr w:type="spellStart"/>
            <w:r w:rsidRPr="006506BF">
              <w:rPr>
                <w:rFonts w:ascii="Times New Roman" w:hAnsi="Times New Roman" w:cs="Times New Roman"/>
                <w:sz w:val="16"/>
              </w:rPr>
              <w:t>тыс</w:t>
            </w:r>
            <w:proofErr w:type="gramStart"/>
            <w:r w:rsidRPr="006506BF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506BF">
              <w:rPr>
                <w:rFonts w:ascii="Times New Roman" w:hAnsi="Times New Roman" w:cs="Times New Roman"/>
                <w:sz w:val="16"/>
              </w:rPr>
              <w:t>ублей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646,3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21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83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Итого, объем средств, предусмотренный на повышение оплаты труда, тыс. руб. (стр. 9+10+11+12)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646,3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646,3</w:t>
            </w:r>
          </w:p>
        </w:tc>
      </w:tr>
      <w:tr w:rsidR="006506BF" w:rsidRPr="006B0969" w:rsidTr="00DD0727">
        <w:trPr>
          <w:trHeight w:val="21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62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5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 xml:space="preserve">Дополнительная потребность в финансовых средствах на повышение </w:t>
            </w:r>
            <w:r w:rsidRPr="006506BF">
              <w:rPr>
                <w:rStyle w:val="55pt"/>
                <w:rFonts w:ascii="Times New Roman" w:hAnsi="Times New Roman" w:cs="Times New Roman"/>
                <w:sz w:val="16"/>
              </w:rPr>
              <w:t>оплаты</w:t>
            </w:r>
            <w:r w:rsidRPr="006506BF">
              <w:rPr>
                <w:rFonts w:ascii="Times New Roman" w:hAnsi="Times New Roman" w:cs="Times New Roman"/>
                <w:sz w:val="16"/>
              </w:rPr>
              <w:t xml:space="preserve"> труда </w:t>
            </w:r>
            <w:proofErr w:type="gramStart"/>
            <w:r w:rsidRPr="006506BF">
              <w:rPr>
                <w:rFonts w:ascii="Times New Roman" w:hAnsi="Times New Roman" w:cs="Times New Roman"/>
                <w:sz w:val="16"/>
              </w:rPr>
              <w:t xml:space="preserve">( </w:t>
            </w:r>
            <w:proofErr w:type="gramEnd"/>
            <w:r w:rsidRPr="006506BF">
              <w:rPr>
                <w:rFonts w:ascii="Times New Roman" w:hAnsi="Times New Roman" w:cs="Times New Roman"/>
                <w:sz w:val="16"/>
              </w:rPr>
              <w:t>стр. 8 - 13), тыс. 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1 520,3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3 371,9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4 771,8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6 429,0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8 352,7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10 548,7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9 664,1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34 994,5</w:t>
            </w:r>
          </w:p>
        </w:tc>
      </w:tr>
      <w:tr w:rsidR="006506BF" w:rsidRPr="006B0969" w:rsidTr="00DD0727">
        <w:trPr>
          <w:trHeight w:val="20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  <w:tr w:rsidR="006506BF" w:rsidRPr="006B0969" w:rsidTr="00DD0727">
        <w:trPr>
          <w:trHeight w:val="109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BF" w:rsidRPr="006506BF" w:rsidRDefault="006506BF" w:rsidP="006506BF">
            <w:pPr>
              <w:pStyle w:val="1"/>
              <w:shd w:val="clear" w:color="auto" w:fill="auto"/>
              <w:spacing w:line="178" w:lineRule="exact"/>
              <w:ind w:left="40"/>
              <w:rPr>
                <w:rFonts w:ascii="Times New Roman" w:hAnsi="Times New Roman" w:cs="Times New Roman"/>
                <w:sz w:val="16"/>
              </w:rPr>
            </w:pPr>
            <w:r w:rsidRPr="006506BF">
              <w:rPr>
                <w:rFonts w:ascii="Times New Roman" w:hAnsi="Times New Roman" w:cs="Times New Roman"/>
                <w:sz w:val="16"/>
              </w:rPr>
              <w:t>Соотношение объема средств от оптимизации к сумме объема средств, предусмотренного на повышение оплаты труда, % (стр.10/стр.14* 100%)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 '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pStyle w:val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sz w:val="14"/>
              </w:rPr>
            </w:pPr>
            <w:r w:rsidRPr="006506BF">
              <w:rPr>
                <w:rFonts w:ascii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BF" w:rsidRPr="006506BF" w:rsidRDefault="006506BF" w:rsidP="00DD0727">
            <w:pPr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</w:tr>
    </w:tbl>
    <w:p w:rsidR="003F47DE" w:rsidRDefault="003F47DE">
      <w:pPr>
        <w:rPr>
          <w:sz w:val="2"/>
          <w:szCs w:val="2"/>
        </w:rPr>
      </w:pPr>
    </w:p>
    <w:sectPr w:rsidR="003F47DE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01" w:rsidRDefault="00740401">
      <w:r>
        <w:separator/>
      </w:r>
    </w:p>
  </w:endnote>
  <w:endnote w:type="continuationSeparator" w:id="0">
    <w:p w:rsidR="00740401" w:rsidRDefault="0074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01" w:rsidRDefault="00740401"/>
  </w:footnote>
  <w:footnote w:type="continuationSeparator" w:id="0">
    <w:p w:rsidR="00740401" w:rsidRDefault="007404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E"/>
    <w:rsid w:val="001458A6"/>
    <w:rsid w:val="003F47DE"/>
    <w:rsid w:val="00551FF6"/>
    <w:rsid w:val="006506BF"/>
    <w:rsid w:val="006B0969"/>
    <w:rsid w:val="00740401"/>
    <w:rsid w:val="00D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">
    <w:name w:val="Основной текст + 5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9"/>
      <w:szCs w:val="9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5" w:lineRule="exact"/>
      <w:jc w:val="center"/>
    </w:pPr>
    <w:rPr>
      <w:rFonts w:ascii="Calibri" w:eastAsia="Calibri" w:hAnsi="Calibri" w:cs="Calibri"/>
      <w:b/>
      <w:bCs/>
      <w:spacing w:val="1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">
    <w:name w:val="Основной текст + 5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9"/>
      <w:szCs w:val="9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5" w:lineRule="exact"/>
      <w:jc w:val="center"/>
    </w:pPr>
    <w:rPr>
      <w:rFonts w:ascii="Calibri" w:eastAsia="Calibri" w:hAnsi="Calibri" w:cs="Calibri"/>
      <w:b/>
      <w:bCs/>
      <w:spacing w:val="1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2014-02-05T05:52:00Z</dcterms:created>
  <dcterms:modified xsi:type="dcterms:W3CDTF">2014-02-05T06:49:00Z</dcterms:modified>
</cp:coreProperties>
</file>